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5C235C" w14:textId="1F0FE6E2" w:rsidR="00FA7211" w:rsidRDefault="0032509D" w:rsidP="0032509D">
      <w:pPr>
        <w:pStyle w:val="Sinespaciado"/>
        <w:jc w:val="both"/>
        <w:rPr>
          <w:rFonts w:ascii="Segoe UI" w:hAnsi="Segoe UI" w:cs="Segoe UI"/>
          <w:lang w:val="es-CO"/>
        </w:rPr>
      </w:pPr>
      <w:r w:rsidRPr="0032509D">
        <w:rPr>
          <w:rFonts w:ascii="Segoe UI" w:hAnsi="Segoe UI" w:cs="Segoe UI"/>
          <w:b/>
          <w:bCs/>
          <w:lang w:val="es-CO"/>
        </w:rPr>
        <w:t>Análisis</w:t>
      </w:r>
      <w:r>
        <w:rPr>
          <w:rFonts w:ascii="Segoe UI" w:hAnsi="Segoe UI" w:cs="Segoe UI"/>
          <w:lang w:val="es-CO"/>
        </w:rPr>
        <w:t>: Proceso de Gestión Contractual</w:t>
      </w:r>
    </w:p>
    <w:p w14:paraId="209DAE44" w14:textId="2EBA7286" w:rsidR="0032509D" w:rsidRDefault="0032509D" w:rsidP="0032509D">
      <w:pPr>
        <w:pStyle w:val="Sinespaciado"/>
        <w:jc w:val="both"/>
        <w:rPr>
          <w:rFonts w:ascii="Segoe UI" w:hAnsi="Segoe UI" w:cs="Segoe UI"/>
          <w:lang w:val="es-CO"/>
        </w:rPr>
      </w:pPr>
      <w:r w:rsidRPr="0032509D">
        <w:rPr>
          <w:rFonts w:ascii="Segoe UI" w:hAnsi="Segoe UI" w:cs="Segoe UI"/>
          <w:b/>
          <w:bCs/>
          <w:lang w:val="es-CO"/>
        </w:rPr>
        <w:t>Objetivo</w:t>
      </w:r>
      <w:r>
        <w:rPr>
          <w:rFonts w:ascii="Segoe UI" w:hAnsi="Segoe UI" w:cs="Segoe UI"/>
          <w:lang w:val="es-CO"/>
        </w:rPr>
        <w:t>: Identificar elementos de la secuencia operativa del proceso donde sea posible incluir herramientas para la adecuada implementación y desarrollo del SARLAFT en Foncep.</w:t>
      </w:r>
    </w:p>
    <w:p w14:paraId="3D85BD29" w14:textId="0B05390D" w:rsidR="0032509D" w:rsidRDefault="0032509D" w:rsidP="0032509D">
      <w:pPr>
        <w:pStyle w:val="Sinespaciado"/>
        <w:jc w:val="both"/>
        <w:rPr>
          <w:rFonts w:ascii="Segoe UI" w:hAnsi="Segoe UI" w:cs="Segoe UI"/>
          <w:lang w:val="es-CO"/>
        </w:rPr>
      </w:pPr>
      <w:r w:rsidRPr="0032509D">
        <w:rPr>
          <w:rFonts w:ascii="Segoe UI" w:hAnsi="Segoe UI" w:cs="Segoe UI"/>
          <w:b/>
          <w:bCs/>
          <w:lang w:val="es-CO"/>
        </w:rPr>
        <w:t>Tipo de documento analizado</w:t>
      </w:r>
      <w:r>
        <w:rPr>
          <w:rFonts w:ascii="Segoe UI" w:hAnsi="Segoe UI" w:cs="Segoe UI"/>
          <w:lang w:val="es-CO"/>
        </w:rPr>
        <w:t xml:space="preserve">: Caracterización del Proceso </w:t>
      </w:r>
    </w:p>
    <w:p w14:paraId="23DAD4FB" w14:textId="77777777" w:rsidR="0032509D" w:rsidRDefault="0032509D" w:rsidP="0032509D">
      <w:pPr>
        <w:pStyle w:val="Sinespaciado"/>
        <w:jc w:val="both"/>
        <w:rPr>
          <w:rFonts w:ascii="Segoe UI" w:hAnsi="Segoe UI" w:cs="Segoe UI"/>
          <w:lang w:val="es-CO"/>
        </w:rPr>
      </w:pPr>
    </w:p>
    <w:p w14:paraId="562BA2DC" w14:textId="7E82C7A2" w:rsidR="0032509D" w:rsidRDefault="00E26447" w:rsidP="0032509D">
      <w:pPr>
        <w:pStyle w:val="Sinespaciado"/>
        <w:jc w:val="both"/>
        <w:rPr>
          <w:rFonts w:ascii="Segoe UI" w:hAnsi="Segoe UI" w:cs="Segoe UI"/>
          <w:lang w:val="es-CO"/>
        </w:rPr>
      </w:pPr>
      <w:r>
        <w:rPr>
          <w:rFonts w:ascii="Segoe UI" w:hAnsi="Segoe UI" w:cs="Segoe UI"/>
          <w:lang w:val="es-CO"/>
        </w:rPr>
        <w:t>La caracterización del proceso de Gestión Contractual</w:t>
      </w:r>
      <w:r w:rsidRPr="00E26447">
        <w:rPr>
          <w:rFonts w:ascii="Segoe UI" w:hAnsi="Segoe UI" w:cs="Segoe UI"/>
          <w:lang w:val="es-CO"/>
        </w:rPr>
        <w:t xml:space="preserve"> describe de manera estandarizada el proceso de contratación en FONCEP: desde la planificación, recepción de solicitudes, revisión de documentos precontractuales, aprobación, gestión de diferentes modalidades de contratación, hasta la supervisión, liquidación y cierre de contratos. El objetivo es garantizar adquisiciones transparentes y alineadas con la normatividad vigente.</w:t>
      </w:r>
    </w:p>
    <w:p w14:paraId="76D74744" w14:textId="77777777" w:rsidR="00F5458B" w:rsidRDefault="00F5458B" w:rsidP="0032509D">
      <w:pPr>
        <w:pStyle w:val="Sinespaciado"/>
        <w:jc w:val="both"/>
        <w:rPr>
          <w:rFonts w:ascii="Segoe UI" w:hAnsi="Segoe UI" w:cs="Segoe UI"/>
          <w:lang w:val="es-CO"/>
        </w:rPr>
      </w:pPr>
    </w:p>
    <w:p w14:paraId="18762454" w14:textId="5AE8CFB2" w:rsidR="00F5458B" w:rsidRDefault="00F5458B" w:rsidP="0032509D">
      <w:pPr>
        <w:pStyle w:val="Sinespaciado"/>
        <w:jc w:val="both"/>
        <w:rPr>
          <w:rFonts w:ascii="Segoe UI" w:hAnsi="Segoe UI" w:cs="Segoe UI"/>
          <w:lang w:val="es-CO"/>
        </w:rPr>
      </w:pPr>
      <w:r w:rsidRPr="00600FDE">
        <w:rPr>
          <w:rFonts w:ascii="Segoe UI" w:hAnsi="Segoe UI" w:cs="Segoe UI"/>
          <w:b/>
          <w:bCs/>
          <w:lang w:val="es-CO"/>
        </w:rPr>
        <w:t xml:space="preserve">Propuesta </w:t>
      </w:r>
      <w:r w:rsidR="00F93E6A">
        <w:rPr>
          <w:rFonts w:ascii="Segoe UI" w:hAnsi="Segoe UI" w:cs="Segoe UI"/>
          <w:b/>
          <w:bCs/>
          <w:lang w:val="es-CO"/>
        </w:rPr>
        <w:t>modificación del objetivo</w:t>
      </w:r>
      <w:r w:rsidRPr="00600FDE">
        <w:rPr>
          <w:rFonts w:ascii="Segoe UI" w:hAnsi="Segoe UI" w:cs="Segoe UI"/>
          <w:b/>
          <w:bCs/>
          <w:lang w:val="es-CO"/>
        </w:rPr>
        <w:t>:</w:t>
      </w:r>
      <w:r>
        <w:rPr>
          <w:rFonts w:ascii="Segoe UI" w:hAnsi="Segoe UI" w:cs="Segoe UI"/>
          <w:lang w:val="es-CO"/>
        </w:rPr>
        <w:t xml:space="preserve"> </w:t>
      </w:r>
      <w:r w:rsidRPr="00F5458B">
        <w:rPr>
          <w:rFonts w:ascii="Segoe UI" w:hAnsi="Segoe UI" w:cs="Segoe UI"/>
          <w:lang w:val="es-CO"/>
        </w:rPr>
        <w:t>El proceso busca gestionar adquisiciones de bienes y servicios conforme al Plan Anual de Adquisiciones y la normatividad vigente. Inicia con la recepción de solicitudes y finaliza con la liquidación o cierre del expediente contractual. Aquí se podría incluir un objetivo complementario</w:t>
      </w:r>
      <w:r w:rsidR="00F93E6A">
        <w:rPr>
          <w:rFonts w:ascii="Segoe UI" w:hAnsi="Segoe UI" w:cs="Segoe UI"/>
          <w:lang w:val="es-CO"/>
        </w:rPr>
        <w:t xml:space="preserve"> o secundario</w:t>
      </w:r>
      <w:r w:rsidRPr="00F5458B">
        <w:rPr>
          <w:rFonts w:ascii="Segoe UI" w:hAnsi="Segoe UI" w:cs="Segoe UI"/>
          <w:lang w:val="es-CO"/>
        </w:rPr>
        <w:t>: “Incorporar medidas de prevención de riesgos de Lavado de Activos y Financiación del Terrorismo (LA/FT) en todas las etapas contractuales”.</w:t>
      </w:r>
    </w:p>
    <w:p w14:paraId="0D054D1C" w14:textId="77777777" w:rsidR="00F93E6A" w:rsidRDefault="00F93E6A" w:rsidP="0032509D">
      <w:pPr>
        <w:pStyle w:val="Sinespaciado"/>
        <w:jc w:val="both"/>
        <w:rPr>
          <w:rFonts w:ascii="Segoe UI" w:hAnsi="Segoe UI" w:cs="Segoe UI"/>
          <w:lang w:val="es-CO"/>
        </w:rPr>
      </w:pPr>
    </w:p>
    <w:p w14:paraId="0AB91BEB" w14:textId="28BD608F" w:rsidR="00F93E6A" w:rsidRDefault="00D24354" w:rsidP="0032509D">
      <w:pPr>
        <w:pStyle w:val="Sinespaciado"/>
        <w:jc w:val="both"/>
        <w:rPr>
          <w:rFonts w:ascii="Segoe UI" w:hAnsi="Segoe UI" w:cs="Segoe UI"/>
          <w:lang w:val="es-CO"/>
        </w:rPr>
      </w:pPr>
      <w:r w:rsidRPr="00D24354">
        <w:rPr>
          <w:rFonts w:ascii="Segoe UI" w:hAnsi="Segoe UI" w:cs="Segoe UI"/>
          <w:b/>
          <w:bCs/>
          <w:lang w:val="es-CO"/>
        </w:rPr>
        <w:t>Propuesta en Actividades Clave:</w:t>
      </w:r>
      <w:r>
        <w:rPr>
          <w:rFonts w:ascii="Segoe UI" w:hAnsi="Segoe UI" w:cs="Segoe UI"/>
          <w:lang w:val="es-CO"/>
        </w:rPr>
        <w:t xml:space="preserve"> </w:t>
      </w:r>
      <w:r w:rsidRPr="00D24354">
        <w:rPr>
          <w:rFonts w:ascii="Segoe UI" w:hAnsi="Segoe UI" w:cs="Segoe UI"/>
          <w:lang w:val="es-CO"/>
        </w:rPr>
        <w:t>El proceso contempla fases de planeación, recepción, revisión, ajustes, aprobación y ejecución. En estas fases, especialmente en la revisión de documentos precontractuales (actividad 3) y la aprobación de documentos (actividad 5), sería pertinente incluir la validación SARLAFT: consultas en listas vinculantes (OFAC, Interpol, ONU), diligenciamiento del formulario de beneficiario final y verificación de señales de alerta.</w:t>
      </w:r>
    </w:p>
    <w:p w14:paraId="79B044CB" w14:textId="77777777" w:rsidR="00432F7B" w:rsidRDefault="00432F7B" w:rsidP="0032509D">
      <w:pPr>
        <w:pStyle w:val="Sinespaciado"/>
        <w:jc w:val="both"/>
        <w:rPr>
          <w:rFonts w:ascii="Segoe UI" w:hAnsi="Segoe UI" w:cs="Segoe UI"/>
          <w:lang w:val="es-CO"/>
        </w:rPr>
      </w:pPr>
    </w:p>
    <w:p w14:paraId="550263FE" w14:textId="630CD221" w:rsidR="00432F7B" w:rsidRDefault="00432F7B" w:rsidP="0032509D">
      <w:pPr>
        <w:pStyle w:val="Sinespaciado"/>
        <w:jc w:val="both"/>
        <w:rPr>
          <w:rFonts w:ascii="Segoe UI" w:hAnsi="Segoe UI" w:cs="Segoe UI"/>
          <w:lang w:val="es-CO"/>
        </w:rPr>
      </w:pPr>
      <w:r w:rsidRPr="00432F7B">
        <w:rPr>
          <w:rFonts w:ascii="Segoe UI" w:hAnsi="Segoe UI" w:cs="Segoe UI"/>
          <w:b/>
          <w:bCs/>
          <w:lang w:val="es-CO"/>
        </w:rPr>
        <w:t>Propuesta adecuación redacción supervisión:</w:t>
      </w:r>
      <w:r>
        <w:rPr>
          <w:rFonts w:ascii="Segoe UI" w:hAnsi="Segoe UI" w:cs="Segoe UI"/>
          <w:lang w:val="es-CO"/>
        </w:rPr>
        <w:t xml:space="preserve"> </w:t>
      </w:r>
      <w:r w:rsidRPr="00432F7B">
        <w:rPr>
          <w:rFonts w:ascii="Segoe UI" w:hAnsi="Segoe UI" w:cs="Segoe UI"/>
          <w:lang w:val="es-CO"/>
        </w:rPr>
        <w:t>En la actividad 15 (“Designar la supervisión del contrato”), se asigna un supervisor para velar por la correcta ejecución. Aquí se puede añadir como responsabilidad explícita del supervisor la aplicación de controles SARLAFT: monitoreo de operaciones inusuales, reporte de operaciones sospechosas (ROS) y actualización periódica de formularios de conocimiento del beneficiario final.</w:t>
      </w:r>
    </w:p>
    <w:p w14:paraId="0ED5E712" w14:textId="77777777" w:rsidR="00174C17" w:rsidRDefault="00174C17" w:rsidP="0032509D">
      <w:pPr>
        <w:pStyle w:val="Sinespaciado"/>
        <w:jc w:val="both"/>
        <w:rPr>
          <w:rFonts w:ascii="Segoe UI" w:hAnsi="Segoe UI" w:cs="Segoe UI"/>
          <w:lang w:val="es-CO"/>
        </w:rPr>
      </w:pPr>
    </w:p>
    <w:p w14:paraId="2166CDB9" w14:textId="5E8D5A3F" w:rsidR="00174C17" w:rsidRDefault="00174C17" w:rsidP="00174C17">
      <w:pPr>
        <w:pStyle w:val="Sinespaciado"/>
        <w:jc w:val="both"/>
        <w:rPr>
          <w:rFonts w:ascii="Segoe UI" w:hAnsi="Segoe UI" w:cs="Segoe UI"/>
          <w:lang w:val="es-CO"/>
        </w:rPr>
      </w:pPr>
      <w:r w:rsidRPr="00174C17">
        <w:rPr>
          <w:rFonts w:ascii="Segoe UI" w:hAnsi="Segoe UI" w:cs="Segoe UI"/>
          <w:b/>
          <w:bCs/>
          <w:lang w:val="es-CO"/>
        </w:rPr>
        <w:t xml:space="preserve">Propuesta en </w:t>
      </w:r>
      <w:r w:rsidRPr="00174C17">
        <w:rPr>
          <w:rFonts w:ascii="Segoe UI" w:hAnsi="Segoe UI" w:cs="Segoe UI"/>
          <w:b/>
          <w:bCs/>
          <w:lang w:val="es-CO"/>
        </w:rPr>
        <w:t>Informes y liquidación</w:t>
      </w:r>
      <w:r w:rsidRPr="00174C17">
        <w:rPr>
          <w:rFonts w:ascii="Segoe UI" w:hAnsi="Segoe UI" w:cs="Segoe UI"/>
          <w:b/>
          <w:bCs/>
          <w:lang w:val="es-CO"/>
        </w:rPr>
        <w:t>:</w:t>
      </w:r>
      <w:r>
        <w:rPr>
          <w:rFonts w:ascii="Segoe UI" w:hAnsi="Segoe UI" w:cs="Segoe UI"/>
          <w:lang w:val="es-CO"/>
        </w:rPr>
        <w:t xml:space="preserve"> </w:t>
      </w:r>
      <w:r w:rsidRPr="00174C17">
        <w:rPr>
          <w:rFonts w:ascii="Segoe UI" w:hAnsi="Segoe UI" w:cs="Segoe UI"/>
          <w:lang w:val="es-CO"/>
        </w:rPr>
        <w:t>En las actividades 16 a 20 (informes de ejecución, publicación, liquidación y cierre), se podría incluir un paso adicional: validación de cumplimiento SARLAFT antes de la liquidación, asegurando que todos los reportes y verificaciones estén archivados en el expediente contractual y en el repositorio virtual.</w:t>
      </w:r>
    </w:p>
    <w:p w14:paraId="209E52AD" w14:textId="77777777" w:rsidR="00D40818" w:rsidRDefault="00D40818" w:rsidP="00174C17">
      <w:pPr>
        <w:pStyle w:val="Sinespaciado"/>
        <w:jc w:val="both"/>
        <w:rPr>
          <w:rFonts w:ascii="Segoe UI" w:hAnsi="Segoe UI" w:cs="Segoe UI"/>
          <w:lang w:val="es-CO"/>
        </w:rPr>
      </w:pPr>
    </w:p>
    <w:p w14:paraId="6157DCB6" w14:textId="1DAE17E0" w:rsidR="00D40818" w:rsidRDefault="00D40818" w:rsidP="00D40818">
      <w:pPr>
        <w:pStyle w:val="Sinespaciado"/>
        <w:jc w:val="both"/>
        <w:rPr>
          <w:rFonts w:ascii="Segoe UI" w:hAnsi="Segoe UI" w:cs="Segoe UI"/>
          <w:lang w:val="es-CO"/>
        </w:rPr>
      </w:pPr>
      <w:r w:rsidRPr="00D40818">
        <w:rPr>
          <w:rFonts w:ascii="Segoe UI" w:hAnsi="Segoe UI" w:cs="Segoe UI"/>
          <w:b/>
          <w:bCs/>
          <w:lang w:val="es-CO"/>
        </w:rPr>
        <w:t xml:space="preserve">Propuesta de </w:t>
      </w:r>
      <w:r w:rsidRPr="00D40818">
        <w:rPr>
          <w:rFonts w:ascii="Segoe UI" w:hAnsi="Segoe UI" w:cs="Segoe UI"/>
          <w:b/>
          <w:bCs/>
          <w:lang w:val="es-CO"/>
        </w:rPr>
        <w:t>Monitoreo y mejora continua</w:t>
      </w:r>
      <w:r w:rsidRPr="00D40818">
        <w:rPr>
          <w:rFonts w:ascii="Segoe UI" w:hAnsi="Segoe UI" w:cs="Segoe UI"/>
          <w:b/>
          <w:bCs/>
          <w:lang w:val="es-CO"/>
        </w:rPr>
        <w:t>:</w:t>
      </w:r>
      <w:r>
        <w:rPr>
          <w:rFonts w:ascii="Segoe UI" w:hAnsi="Segoe UI" w:cs="Segoe UI"/>
          <w:lang w:val="es-CO"/>
        </w:rPr>
        <w:t xml:space="preserve">  </w:t>
      </w:r>
      <w:r w:rsidRPr="00D40818">
        <w:rPr>
          <w:rFonts w:ascii="Segoe UI" w:hAnsi="Segoe UI" w:cs="Segoe UI"/>
          <w:lang w:val="es-CO"/>
        </w:rPr>
        <w:t>En la actividad 21 (“Monitorear y reportar la ejecución de los elementos de gestión del proceso”), se puede integrar un indicador específico de cumplimiento SARLAFT: porcentaje de contratos con evidencias cargadas (OFAC, Interpol, formularios), número de ROS reportados y nivel de capacitación de supervisores en prevención LA/FT.</w:t>
      </w:r>
    </w:p>
    <w:p w14:paraId="41A56B78" w14:textId="77777777" w:rsidR="005104C0" w:rsidRDefault="005104C0" w:rsidP="00D40818">
      <w:pPr>
        <w:pStyle w:val="Sinespaciado"/>
        <w:jc w:val="both"/>
        <w:rPr>
          <w:rFonts w:ascii="Segoe UI" w:hAnsi="Segoe UI" w:cs="Segoe UI"/>
          <w:lang w:val="es-CO"/>
        </w:rPr>
      </w:pPr>
    </w:p>
    <w:p w14:paraId="7F829FF2" w14:textId="77777777" w:rsidR="005104C0" w:rsidRDefault="005104C0" w:rsidP="00D40818">
      <w:pPr>
        <w:pStyle w:val="Sinespaciado"/>
        <w:jc w:val="both"/>
        <w:rPr>
          <w:rFonts w:ascii="Segoe UI" w:hAnsi="Segoe UI" w:cs="Segoe UI"/>
          <w:lang w:val="es-CO"/>
        </w:rPr>
      </w:pPr>
    </w:p>
    <w:p w14:paraId="7A76B644" w14:textId="77777777" w:rsidR="005104C0" w:rsidRDefault="005104C0" w:rsidP="00D40818">
      <w:pPr>
        <w:pStyle w:val="Sinespaciado"/>
        <w:jc w:val="both"/>
        <w:rPr>
          <w:rFonts w:ascii="Segoe UI" w:hAnsi="Segoe UI" w:cs="Segoe UI"/>
          <w:lang w:val="es-CO"/>
        </w:rPr>
      </w:pPr>
    </w:p>
    <w:p w14:paraId="76EAA7A5" w14:textId="77777777" w:rsidR="005104C0" w:rsidRDefault="005104C0" w:rsidP="00D40818">
      <w:pPr>
        <w:pStyle w:val="Sinespaciado"/>
        <w:jc w:val="both"/>
        <w:rPr>
          <w:rFonts w:ascii="Segoe UI" w:hAnsi="Segoe UI" w:cs="Segoe UI"/>
          <w:lang w:val="es-CO"/>
        </w:rPr>
      </w:pPr>
    </w:p>
    <w:p w14:paraId="5AF77E96" w14:textId="21D2D742" w:rsidR="005104C0" w:rsidRPr="005104C0" w:rsidRDefault="005104C0" w:rsidP="005104C0">
      <w:pPr>
        <w:pStyle w:val="Sinespaciado"/>
        <w:jc w:val="both"/>
        <w:rPr>
          <w:rFonts w:ascii="Segoe UI" w:hAnsi="Segoe UI" w:cs="Segoe UI"/>
          <w:b/>
          <w:bCs/>
          <w:lang w:val="es-CO"/>
        </w:rPr>
      </w:pPr>
      <w:r>
        <w:rPr>
          <w:rFonts w:ascii="Segoe UI" w:hAnsi="Segoe UI" w:cs="Segoe UI"/>
          <w:b/>
          <w:bCs/>
          <w:lang w:val="es-CO"/>
        </w:rPr>
        <w:lastRenderedPageBreak/>
        <w:t>Síntesis de p</w:t>
      </w:r>
      <w:r w:rsidRPr="005104C0">
        <w:rPr>
          <w:rFonts w:ascii="Segoe UI" w:hAnsi="Segoe UI" w:cs="Segoe UI"/>
          <w:b/>
          <w:bCs/>
          <w:lang w:val="es-CO"/>
        </w:rPr>
        <w:t>osibles puntos de inclusión de SARLAFT</w:t>
      </w:r>
      <w:r>
        <w:rPr>
          <w:rFonts w:ascii="Segoe UI" w:hAnsi="Segoe UI" w:cs="Segoe UI"/>
          <w:b/>
          <w:bCs/>
          <w:lang w:val="es-CO"/>
        </w:rPr>
        <w:t xml:space="preserve">: </w:t>
      </w:r>
    </w:p>
    <w:p w14:paraId="5CC54416" w14:textId="77777777" w:rsidR="005104C0" w:rsidRDefault="005104C0" w:rsidP="005104C0">
      <w:pPr>
        <w:pStyle w:val="Sinespaciado"/>
        <w:jc w:val="both"/>
        <w:rPr>
          <w:rFonts w:ascii="Segoe UI" w:hAnsi="Segoe UI" w:cs="Segoe UI"/>
          <w:lang w:val="es-CO"/>
        </w:rPr>
      </w:pPr>
    </w:p>
    <w:p w14:paraId="0E02D682" w14:textId="77777777" w:rsidR="005104C0" w:rsidRDefault="005104C0" w:rsidP="005104C0">
      <w:pPr>
        <w:pStyle w:val="Sinespaciado"/>
        <w:jc w:val="both"/>
        <w:rPr>
          <w:rFonts w:ascii="Segoe UI" w:hAnsi="Segoe UI" w:cs="Segoe UI"/>
          <w:lang w:val="es-CO"/>
        </w:rPr>
      </w:pPr>
    </w:p>
    <w:p w14:paraId="79972E8B" w14:textId="77777777" w:rsidR="005104C0" w:rsidRDefault="005104C0" w:rsidP="005104C0">
      <w:pPr>
        <w:pStyle w:val="Sinespaciado"/>
        <w:numPr>
          <w:ilvl w:val="0"/>
          <w:numId w:val="1"/>
        </w:numPr>
        <w:jc w:val="both"/>
        <w:rPr>
          <w:rFonts w:ascii="Segoe UI" w:hAnsi="Segoe UI" w:cs="Segoe UI"/>
          <w:lang w:val="es-CO"/>
        </w:rPr>
      </w:pPr>
      <w:r w:rsidRPr="005104C0">
        <w:rPr>
          <w:rFonts w:ascii="Segoe UI" w:hAnsi="Segoe UI" w:cs="Segoe UI"/>
          <w:lang w:val="es-CO"/>
        </w:rPr>
        <w:t>Objetivo del proceso: añadir la prevención de riesgos LA/FT como parte de la finalidad.</w:t>
      </w:r>
    </w:p>
    <w:p w14:paraId="0542C539" w14:textId="77777777" w:rsidR="005104C0" w:rsidRDefault="005104C0" w:rsidP="005104C0">
      <w:pPr>
        <w:pStyle w:val="Sinespaciado"/>
        <w:numPr>
          <w:ilvl w:val="0"/>
          <w:numId w:val="1"/>
        </w:numPr>
        <w:jc w:val="both"/>
        <w:rPr>
          <w:rFonts w:ascii="Segoe UI" w:hAnsi="Segoe UI" w:cs="Segoe UI"/>
          <w:lang w:val="es-CO"/>
        </w:rPr>
      </w:pPr>
      <w:r w:rsidRPr="005104C0">
        <w:rPr>
          <w:rFonts w:ascii="Segoe UI" w:hAnsi="Segoe UI" w:cs="Segoe UI"/>
          <w:lang w:val="es-CO"/>
        </w:rPr>
        <w:t>Revisión de documentos precontractuales (actividad 3): incluir validación en listas vinculantes y formularios SARLAFT.</w:t>
      </w:r>
    </w:p>
    <w:p w14:paraId="5F6B950C" w14:textId="77777777" w:rsidR="005104C0" w:rsidRDefault="005104C0" w:rsidP="005104C0">
      <w:pPr>
        <w:pStyle w:val="Sinespaciado"/>
        <w:numPr>
          <w:ilvl w:val="0"/>
          <w:numId w:val="1"/>
        </w:numPr>
        <w:jc w:val="both"/>
        <w:rPr>
          <w:rFonts w:ascii="Segoe UI" w:hAnsi="Segoe UI" w:cs="Segoe UI"/>
          <w:lang w:val="es-CO"/>
        </w:rPr>
      </w:pPr>
      <w:r w:rsidRPr="005104C0">
        <w:rPr>
          <w:rFonts w:ascii="Segoe UI" w:hAnsi="Segoe UI" w:cs="Segoe UI"/>
          <w:lang w:val="es-CO"/>
        </w:rPr>
        <w:t>Aprobación de documentos (actividad 5): exigir evidencia de cumplimiento SARLAFT antes de avanzar.</w:t>
      </w:r>
    </w:p>
    <w:p w14:paraId="40DA2469" w14:textId="77777777" w:rsidR="005104C0" w:rsidRDefault="005104C0" w:rsidP="005104C0">
      <w:pPr>
        <w:pStyle w:val="Sinespaciado"/>
        <w:numPr>
          <w:ilvl w:val="0"/>
          <w:numId w:val="1"/>
        </w:numPr>
        <w:jc w:val="both"/>
        <w:rPr>
          <w:rFonts w:ascii="Segoe UI" w:hAnsi="Segoe UI" w:cs="Segoe UI"/>
          <w:lang w:val="es-CO"/>
        </w:rPr>
      </w:pPr>
      <w:r w:rsidRPr="005104C0">
        <w:rPr>
          <w:rFonts w:ascii="Segoe UI" w:hAnsi="Segoe UI" w:cs="Segoe UI"/>
          <w:lang w:val="es-CO"/>
        </w:rPr>
        <w:t>Supervisión contractual (actividad 15): asignar responsabilidad explícita de monitoreo SARLAFT al supervisor.</w:t>
      </w:r>
    </w:p>
    <w:p w14:paraId="0B474014" w14:textId="77777777" w:rsidR="005104C0" w:rsidRDefault="005104C0" w:rsidP="005104C0">
      <w:pPr>
        <w:pStyle w:val="Sinespaciado"/>
        <w:numPr>
          <w:ilvl w:val="0"/>
          <w:numId w:val="1"/>
        </w:numPr>
        <w:jc w:val="both"/>
        <w:rPr>
          <w:rFonts w:ascii="Segoe UI" w:hAnsi="Segoe UI" w:cs="Segoe UI"/>
          <w:lang w:val="es-CO"/>
        </w:rPr>
      </w:pPr>
      <w:r w:rsidRPr="005104C0">
        <w:rPr>
          <w:rFonts w:ascii="Segoe UI" w:hAnsi="Segoe UI" w:cs="Segoe UI"/>
          <w:lang w:val="es-CO"/>
        </w:rPr>
        <w:t>Liquidación y cierre (actividad 18-20): verificar cumplimiento SARLAFT antes de cerrar el expediente.</w:t>
      </w:r>
    </w:p>
    <w:p w14:paraId="091994A3" w14:textId="3E4229B8" w:rsidR="005104C0" w:rsidRDefault="005104C0" w:rsidP="005104C0">
      <w:pPr>
        <w:pStyle w:val="Sinespaciado"/>
        <w:numPr>
          <w:ilvl w:val="0"/>
          <w:numId w:val="1"/>
        </w:numPr>
        <w:jc w:val="both"/>
        <w:rPr>
          <w:rFonts w:ascii="Segoe UI" w:hAnsi="Segoe UI" w:cs="Segoe UI"/>
          <w:lang w:val="es-CO"/>
        </w:rPr>
      </w:pPr>
      <w:r w:rsidRPr="005104C0">
        <w:rPr>
          <w:rFonts w:ascii="Segoe UI" w:hAnsi="Segoe UI" w:cs="Segoe UI"/>
          <w:lang w:val="es-CO"/>
        </w:rPr>
        <w:t>Monitoreo del proceso (actividad 21): crear indicadores SARLAFT para medir efectividad y trazabilidad.</w:t>
      </w:r>
    </w:p>
    <w:p w14:paraId="776A43B3" w14:textId="77777777" w:rsidR="005328DF" w:rsidRDefault="005328DF" w:rsidP="005328DF">
      <w:pPr>
        <w:pStyle w:val="Sinespaciado"/>
        <w:jc w:val="both"/>
        <w:rPr>
          <w:rFonts w:ascii="Segoe UI" w:hAnsi="Segoe UI" w:cs="Segoe UI"/>
          <w:lang w:val="es-CO"/>
        </w:rPr>
      </w:pPr>
    </w:p>
    <w:p w14:paraId="555ED107" w14:textId="4287FD27" w:rsidR="005328DF" w:rsidRPr="00582A4D" w:rsidRDefault="005328DF" w:rsidP="005328DF">
      <w:pPr>
        <w:pStyle w:val="Sinespaciado"/>
        <w:jc w:val="both"/>
        <w:rPr>
          <w:rFonts w:ascii="Segoe UI" w:hAnsi="Segoe UI" w:cs="Segoe UI"/>
          <w:lang w:val="es-CO"/>
        </w:rPr>
      </w:pPr>
      <w:r w:rsidRPr="005328DF">
        <w:rPr>
          <w:rFonts w:ascii="Segoe UI" w:hAnsi="Segoe UI" w:cs="Segoe UI"/>
          <w:b/>
          <w:bCs/>
          <w:lang w:val="es-CO"/>
        </w:rPr>
        <w:t>Recomendación:</w:t>
      </w:r>
      <w:r>
        <w:rPr>
          <w:rFonts w:ascii="Segoe UI" w:hAnsi="Segoe UI" w:cs="Segoe UI"/>
          <w:lang w:val="es-CO"/>
        </w:rPr>
        <w:t xml:space="preserve"> </w:t>
      </w:r>
      <w:r w:rsidRPr="00582A4D">
        <w:rPr>
          <w:rFonts w:ascii="Segoe UI" w:hAnsi="Segoe UI" w:cs="Segoe UI"/>
          <w:lang w:val="es-CO"/>
        </w:rPr>
        <w:t xml:space="preserve">El </w:t>
      </w:r>
      <w:r w:rsidRPr="00582A4D">
        <w:rPr>
          <w:rFonts w:ascii="Segoe UI" w:hAnsi="Segoe UI" w:cs="Segoe UI"/>
          <w:lang w:val="es-CO"/>
        </w:rPr>
        <w:t xml:space="preserve">proceso de Gestión Contractual ya contempla trazabilidad y control, pero puede fortalecerse con la integración de SARLAFT en las fases de precontractual, supervisión y </w:t>
      </w:r>
      <w:r w:rsidR="00582A4D" w:rsidRPr="00582A4D">
        <w:rPr>
          <w:rFonts w:ascii="Segoe UI" w:hAnsi="Segoe UI" w:cs="Segoe UI"/>
          <w:lang w:val="es-CO"/>
        </w:rPr>
        <w:t>poscontractual</w:t>
      </w:r>
      <w:r w:rsidRPr="00582A4D">
        <w:rPr>
          <w:rFonts w:ascii="Segoe UI" w:hAnsi="Segoe UI" w:cs="Segoe UI"/>
          <w:lang w:val="es-CO"/>
        </w:rPr>
        <w:t>, asegurando que cada contrato cumpla con las medidas de prevención de lavado de activos y financiación del terrorismo.</w:t>
      </w:r>
    </w:p>
    <w:p w14:paraId="1CB503E6" w14:textId="772D7B35" w:rsidR="005328DF" w:rsidRDefault="005328DF" w:rsidP="005328DF">
      <w:pPr>
        <w:pStyle w:val="Sinespaciado"/>
        <w:jc w:val="both"/>
        <w:rPr>
          <w:rFonts w:ascii="Segoe UI" w:hAnsi="Segoe UI" w:cs="Segoe UI"/>
          <w:lang w:val="es-CO"/>
        </w:rPr>
      </w:pPr>
    </w:p>
    <w:p w14:paraId="65BB1179" w14:textId="39B1650F" w:rsidR="0030253A" w:rsidRDefault="0030253A" w:rsidP="0030253A">
      <w:pPr>
        <w:pStyle w:val="Sinespaciado"/>
        <w:jc w:val="center"/>
        <w:rPr>
          <w:rFonts w:ascii="Segoe UI" w:hAnsi="Segoe UI" w:cs="Segoe UI"/>
          <w:lang w:val="es-CO"/>
        </w:rPr>
      </w:pPr>
      <w:r>
        <w:rPr>
          <w:rFonts w:ascii="Segoe UI" w:hAnsi="Segoe UI" w:cs="Segoe UI"/>
          <w:noProof/>
          <w:lang w:val="es-CO"/>
        </w:rPr>
        <w:drawing>
          <wp:inline distT="0" distB="0" distL="0" distR="0" wp14:anchorId="657EB35C" wp14:editId="15756674">
            <wp:extent cx="3962400" cy="4493895"/>
            <wp:effectExtent l="0" t="0" r="0" b="1905"/>
            <wp:docPr id="104998607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9986072" name="Imagen 1049986072"/>
                    <pic:cNvPicPr/>
                  </pic:nvPicPr>
                  <pic:blipFill rotWithShape="1">
                    <a:blip r:embed="rId6"/>
                    <a:srcRect b="4989"/>
                    <a:stretch>
                      <a:fillRect/>
                    </a:stretch>
                  </pic:blipFill>
                  <pic:spPr bwMode="auto">
                    <a:xfrm>
                      <a:off x="0" y="0"/>
                      <a:ext cx="3967484" cy="4499661"/>
                    </a:xfrm>
                    <a:prstGeom prst="rect">
                      <a:avLst/>
                    </a:prstGeom>
                    <a:ln>
                      <a:noFill/>
                    </a:ln>
                    <a:extLst>
                      <a:ext uri="{53640926-AAD7-44D8-BBD7-CCE9431645EC}">
                        <a14:shadowObscured xmlns:a14="http://schemas.microsoft.com/office/drawing/2010/main"/>
                      </a:ext>
                    </a:extLst>
                  </pic:spPr>
                </pic:pic>
              </a:graphicData>
            </a:graphic>
          </wp:inline>
        </w:drawing>
      </w:r>
    </w:p>
    <w:p w14:paraId="050A9424" w14:textId="77777777" w:rsidR="004330A5" w:rsidRDefault="004330A5" w:rsidP="004330A5">
      <w:pPr>
        <w:pStyle w:val="Sinespaciado"/>
        <w:jc w:val="both"/>
        <w:rPr>
          <w:rFonts w:ascii="Segoe UI" w:hAnsi="Segoe UI" w:cs="Segoe UI"/>
          <w:lang w:val="es-CO"/>
        </w:rPr>
      </w:pPr>
      <w:r w:rsidRPr="004330A5">
        <w:rPr>
          <w:rFonts w:ascii="Segoe UI" w:hAnsi="Segoe UI" w:cs="Segoe UI"/>
          <w:lang w:val="es-CO"/>
        </w:rPr>
        <w:lastRenderedPageBreak/>
        <w:t>Se destacan los puntos clave:</w:t>
      </w:r>
    </w:p>
    <w:p w14:paraId="6C276774" w14:textId="77777777" w:rsidR="004330A5" w:rsidRPr="004330A5" w:rsidRDefault="004330A5" w:rsidP="004330A5">
      <w:pPr>
        <w:pStyle w:val="Sinespaciado"/>
        <w:jc w:val="both"/>
        <w:rPr>
          <w:rFonts w:ascii="Segoe UI" w:hAnsi="Segoe UI" w:cs="Segoe UI"/>
          <w:lang w:val="es-CO"/>
        </w:rPr>
      </w:pPr>
    </w:p>
    <w:p w14:paraId="01E1D930" w14:textId="77777777" w:rsidR="004330A5" w:rsidRPr="004330A5" w:rsidRDefault="004330A5" w:rsidP="004330A5">
      <w:pPr>
        <w:pStyle w:val="Sinespaciado"/>
        <w:numPr>
          <w:ilvl w:val="0"/>
          <w:numId w:val="2"/>
        </w:numPr>
        <w:jc w:val="both"/>
        <w:rPr>
          <w:rFonts w:ascii="Segoe UI" w:hAnsi="Segoe UI" w:cs="Segoe UI"/>
          <w:lang w:val="es-CO"/>
        </w:rPr>
      </w:pPr>
      <w:r w:rsidRPr="004330A5">
        <w:rPr>
          <w:rFonts w:ascii="Segoe UI" w:hAnsi="Segoe UI" w:cs="Segoe UI"/>
          <w:b/>
          <w:bCs/>
          <w:lang w:val="es-CO"/>
        </w:rPr>
        <w:t>Planeación</w:t>
      </w:r>
      <w:r w:rsidRPr="004330A5">
        <w:rPr>
          <w:rFonts w:ascii="Segoe UI" w:hAnsi="Segoe UI" w:cs="Segoe UI"/>
          <w:lang w:val="es-CO"/>
        </w:rPr>
        <w:t xml:space="preserve"> → objetivos incluyen prevención LA/FT.</w:t>
      </w:r>
    </w:p>
    <w:p w14:paraId="5055AB14" w14:textId="77777777" w:rsidR="004330A5" w:rsidRPr="004330A5" w:rsidRDefault="004330A5" w:rsidP="004330A5">
      <w:pPr>
        <w:pStyle w:val="Sinespaciado"/>
        <w:numPr>
          <w:ilvl w:val="0"/>
          <w:numId w:val="2"/>
        </w:numPr>
        <w:jc w:val="both"/>
        <w:rPr>
          <w:rFonts w:ascii="Segoe UI" w:hAnsi="Segoe UI" w:cs="Segoe UI"/>
          <w:lang w:val="es-CO"/>
        </w:rPr>
      </w:pPr>
      <w:r w:rsidRPr="004330A5">
        <w:rPr>
          <w:rFonts w:ascii="Segoe UI" w:hAnsi="Segoe UI" w:cs="Segoe UI"/>
          <w:b/>
          <w:bCs/>
          <w:lang w:val="es-CO"/>
        </w:rPr>
        <w:t>Precontractual</w:t>
      </w:r>
      <w:r w:rsidRPr="004330A5">
        <w:rPr>
          <w:rFonts w:ascii="Segoe UI" w:hAnsi="Segoe UI" w:cs="Segoe UI"/>
          <w:lang w:val="es-CO"/>
        </w:rPr>
        <w:t xml:space="preserve"> → validación OFAC/Interpol y formulario de beneficiario final.</w:t>
      </w:r>
    </w:p>
    <w:p w14:paraId="0190F14B" w14:textId="77777777" w:rsidR="004330A5" w:rsidRPr="004330A5" w:rsidRDefault="004330A5" w:rsidP="004330A5">
      <w:pPr>
        <w:pStyle w:val="Sinespaciado"/>
        <w:numPr>
          <w:ilvl w:val="0"/>
          <w:numId w:val="2"/>
        </w:numPr>
        <w:jc w:val="both"/>
        <w:rPr>
          <w:rFonts w:ascii="Segoe UI" w:hAnsi="Segoe UI" w:cs="Segoe UI"/>
          <w:lang w:val="es-CO"/>
        </w:rPr>
      </w:pPr>
      <w:r w:rsidRPr="004330A5">
        <w:rPr>
          <w:rFonts w:ascii="Segoe UI" w:hAnsi="Segoe UI" w:cs="Segoe UI"/>
          <w:b/>
          <w:bCs/>
          <w:lang w:val="es-CO"/>
        </w:rPr>
        <w:t>Contractual</w:t>
      </w:r>
      <w:r w:rsidRPr="004330A5">
        <w:rPr>
          <w:rFonts w:ascii="Segoe UI" w:hAnsi="Segoe UI" w:cs="Segoe UI"/>
          <w:lang w:val="es-CO"/>
        </w:rPr>
        <w:t xml:space="preserve"> → supervisión con responsabilidad explícita en SARLAFT.</w:t>
      </w:r>
    </w:p>
    <w:p w14:paraId="30857841" w14:textId="77777777" w:rsidR="004330A5" w:rsidRPr="004330A5" w:rsidRDefault="004330A5" w:rsidP="004330A5">
      <w:pPr>
        <w:pStyle w:val="Sinespaciado"/>
        <w:numPr>
          <w:ilvl w:val="0"/>
          <w:numId w:val="2"/>
        </w:numPr>
        <w:jc w:val="both"/>
        <w:rPr>
          <w:rFonts w:ascii="Segoe UI" w:hAnsi="Segoe UI" w:cs="Segoe UI"/>
          <w:lang w:val="es-CO"/>
        </w:rPr>
      </w:pPr>
      <w:proofErr w:type="spellStart"/>
      <w:r w:rsidRPr="004330A5">
        <w:rPr>
          <w:rFonts w:ascii="Segoe UI" w:hAnsi="Segoe UI" w:cs="Segoe UI"/>
          <w:b/>
          <w:bCs/>
          <w:lang w:val="es-CO"/>
        </w:rPr>
        <w:t>Postcontractual</w:t>
      </w:r>
      <w:proofErr w:type="spellEnd"/>
      <w:r w:rsidRPr="004330A5">
        <w:rPr>
          <w:rFonts w:ascii="Segoe UI" w:hAnsi="Segoe UI" w:cs="Segoe UI"/>
          <w:lang w:val="es-CO"/>
        </w:rPr>
        <w:t xml:space="preserve"> → verificación SARLAFT antes de liquidación y cierre.</w:t>
      </w:r>
    </w:p>
    <w:p w14:paraId="0B631D53" w14:textId="77777777" w:rsidR="004330A5" w:rsidRDefault="004330A5" w:rsidP="004330A5">
      <w:pPr>
        <w:pStyle w:val="Sinespaciado"/>
        <w:numPr>
          <w:ilvl w:val="0"/>
          <w:numId w:val="2"/>
        </w:numPr>
        <w:jc w:val="both"/>
        <w:rPr>
          <w:rFonts w:ascii="Segoe UI" w:hAnsi="Segoe UI" w:cs="Segoe UI"/>
          <w:lang w:val="es-CO"/>
        </w:rPr>
      </w:pPr>
      <w:r w:rsidRPr="004330A5">
        <w:rPr>
          <w:rFonts w:ascii="Segoe UI" w:hAnsi="Segoe UI" w:cs="Segoe UI"/>
          <w:b/>
          <w:bCs/>
          <w:lang w:val="es-CO"/>
        </w:rPr>
        <w:t>Monitoreo</w:t>
      </w:r>
      <w:r w:rsidRPr="004330A5">
        <w:rPr>
          <w:rFonts w:ascii="Segoe UI" w:hAnsi="Segoe UI" w:cs="Segoe UI"/>
          <w:lang w:val="es-CO"/>
        </w:rPr>
        <w:t xml:space="preserve"> → indicadores de cumplimiento SARLAFT (% de contratos con evidencias cargadas, ROS reportados, capacitación).</w:t>
      </w:r>
    </w:p>
    <w:p w14:paraId="0B5B9433" w14:textId="77777777" w:rsidR="004330A5" w:rsidRPr="004330A5" w:rsidRDefault="004330A5" w:rsidP="001836F7">
      <w:pPr>
        <w:pStyle w:val="Sinespaciado"/>
        <w:ind w:left="720"/>
        <w:jc w:val="both"/>
        <w:rPr>
          <w:rFonts w:ascii="Segoe UI" w:hAnsi="Segoe UI" w:cs="Segoe UI"/>
          <w:lang w:val="es-CO"/>
        </w:rPr>
      </w:pPr>
    </w:p>
    <w:p w14:paraId="7468B19C" w14:textId="77777777" w:rsidR="004330A5" w:rsidRPr="004330A5" w:rsidRDefault="004330A5" w:rsidP="004330A5">
      <w:pPr>
        <w:pStyle w:val="Sinespaciado"/>
        <w:jc w:val="both"/>
        <w:rPr>
          <w:rFonts w:ascii="Segoe UI" w:hAnsi="Segoe UI" w:cs="Segoe UI"/>
          <w:lang w:val="es-CO"/>
        </w:rPr>
      </w:pPr>
      <w:r w:rsidRPr="004330A5">
        <w:rPr>
          <w:rFonts w:ascii="Segoe UI" w:hAnsi="Segoe UI" w:cs="Segoe UI"/>
          <w:lang w:val="es-CO"/>
        </w:rPr>
        <w:t>Este mapa asegura que el SARLAFT se articule transversalmente en todas las fases del proceso contractual, reforzando la trazabilidad y la prevención de riesgos financieros.</w:t>
      </w:r>
    </w:p>
    <w:p w14:paraId="03E36C93" w14:textId="77777777" w:rsidR="004330A5" w:rsidRPr="005104C0" w:rsidRDefault="004330A5" w:rsidP="0030253A">
      <w:pPr>
        <w:pStyle w:val="Sinespaciado"/>
        <w:jc w:val="center"/>
        <w:rPr>
          <w:rFonts w:ascii="Segoe UI" w:hAnsi="Segoe UI" w:cs="Segoe UI"/>
          <w:lang w:val="es-CO"/>
        </w:rPr>
      </w:pPr>
    </w:p>
    <w:sectPr w:rsidR="004330A5" w:rsidRPr="005104C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A8101B"/>
    <w:multiLevelType w:val="hybridMultilevel"/>
    <w:tmpl w:val="3B0E0936"/>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35E26FFC"/>
    <w:multiLevelType w:val="multilevel"/>
    <w:tmpl w:val="C9F43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0811252">
    <w:abstractNumId w:val="0"/>
  </w:num>
  <w:num w:numId="2" w16cid:durableId="7148909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509D"/>
    <w:rsid w:val="00174C17"/>
    <w:rsid w:val="001836F7"/>
    <w:rsid w:val="00190CFC"/>
    <w:rsid w:val="0030253A"/>
    <w:rsid w:val="0032509D"/>
    <w:rsid w:val="00432F7B"/>
    <w:rsid w:val="004330A5"/>
    <w:rsid w:val="005104C0"/>
    <w:rsid w:val="005328DF"/>
    <w:rsid w:val="00582A4D"/>
    <w:rsid w:val="00600FDE"/>
    <w:rsid w:val="00CB24CD"/>
    <w:rsid w:val="00CF02DE"/>
    <w:rsid w:val="00D24354"/>
    <w:rsid w:val="00D40818"/>
    <w:rsid w:val="00D8742A"/>
    <w:rsid w:val="00E26447"/>
    <w:rsid w:val="00F5458B"/>
    <w:rsid w:val="00F93E6A"/>
    <w:rsid w:val="00FA7211"/>
    <w:rsid w:val="00FD2EBE"/>
    <w:rsid w:val="00FF12A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424BB"/>
  <w15:chartTrackingRefBased/>
  <w15:docId w15:val="{7A904F57-2986-4B00-B07D-7858CC9B9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_tradnl"/>
    </w:rPr>
  </w:style>
  <w:style w:type="paragraph" w:styleId="Ttulo1">
    <w:name w:val="heading 1"/>
    <w:basedOn w:val="Normal"/>
    <w:next w:val="Normal"/>
    <w:link w:val="Ttulo1Car"/>
    <w:uiPriority w:val="9"/>
    <w:qFormat/>
    <w:rsid w:val="0032509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2509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2509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32509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2509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2509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2509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2509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2509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2509D"/>
    <w:rPr>
      <w:rFonts w:asciiTheme="majorHAnsi" w:eastAsiaTheme="majorEastAsia" w:hAnsiTheme="majorHAnsi" w:cstheme="majorBidi"/>
      <w:color w:val="0F4761" w:themeColor="accent1" w:themeShade="BF"/>
      <w:sz w:val="40"/>
      <w:szCs w:val="40"/>
      <w:lang w:val="es-ES_tradnl"/>
    </w:rPr>
  </w:style>
  <w:style w:type="character" w:customStyle="1" w:styleId="Ttulo2Car">
    <w:name w:val="Título 2 Car"/>
    <w:basedOn w:val="Fuentedeprrafopredeter"/>
    <w:link w:val="Ttulo2"/>
    <w:uiPriority w:val="9"/>
    <w:semiHidden/>
    <w:rsid w:val="0032509D"/>
    <w:rPr>
      <w:rFonts w:asciiTheme="majorHAnsi" w:eastAsiaTheme="majorEastAsia" w:hAnsiTheme="majorHAnsi" w:cstheme="majorBidi"/>
      <w:color w:val="0F4761" w:themeColor="accent1" w:themeShade="BF"/>
      <w:sz w:val="32"/>
      <w:szCs w:val="32"/>
      <w:lang w:val="es-ES_tradnl"/>
    </w:rPr>
  </w:style>
  <w:style w:type="character" w:customStyle="1" w:styleId="Ttulo3Car">
    <w:name w:val="Título 3 Car"/>
    <w:basedOn w:val="Fuentedeprrafopredeter"/>
    <w:link w:val="Ttulo3"/>
    <w:uiPriority w:val="9"/>
    <w:semiHidden/>
    <w:rsid w:val="0032509D"/>
    <w:rPr>
      <w:rFonts w:eastAsiaTheme="majorEastAsia" w:cstheme="majorBidi"/>
      <w:color w:val="0F4761" w:themeColor="accent1" w:themeShade="BF"/>
      <w:sz w:val="28"/>
      <w:szCs w:val="28"/>
      <w:lang w:val="es-ES_tradnl"/>
    </w:rPr>
  </w:style>
  <w:style w:type="character" w:customStyle="1" w:styleId="Ttulo4Car">
    <w:name w:val="Título 4 Car"/>
    <w:basedOn w:val="Fuentedeprrafopredeter"/>
    <w:link w:val="Ttulo4"/>
    <w:uiPriority w:val="9"/>
    <w:semiHidden/>
    <w:rsid w:val="0032509D"/>
    <w:rPr>
      <w:rFonts w:eastAsiaTheme="majorEastAsia" w:cstheme="majorBidi"/>
      <w:i/>
      <w:iCs/>
      <w:color w:val="0F4761" w:themeColor="accent1" w:themeShade="BF"/>
      <w:lang w:val="es-ES_tradnl"/>
    </w:rPr>
  </w:style>
  <w:style w:type="character" w:customStyle="1" w:styleId="Ttulo5Car">
    <w:name w:val="Título 5 Car"/>
    <w:basedOn w:val="Fuentedeprrafopredeter"/>
    <w:link w:val="Ttulo5"/>
    <w:uiPriority w:val="9"/>
    <w:semiHidden/>
    <w:rsid w:val="0032509D"/>
    <w:rPr>
      <w:rFonts w:eastAsiaTheme="majorEastAsia" w:cstheme="majorBidi"/>
      <w:color w:val="0F4761" w:themeColor="accent1" w:themeShade="BF"/>
      <w:lang w:val="es-ES_tradnl"/>
    </w:rPr>
  </w:style>
  <w:style w:type="character" w:customStyle="1" w:styleId="Ttulo6Car">
    <w:name w:val="Título 6 Car"/>
    <w:basedOn w:val="Fuentedeprrafopredeter"/>
    <w:link w:val="Ttulo6"/>
    <w:uiPriority w:val="9"/>
    <w:semiHidden/>
    <w:rsid w:val="0032509D"/>
    <w:rPr>
      <w:rFonts w:eastAsiaTheme="majorEastAsia" w:cstheme="majorBidi"/>
      <w:i/>
      <w:iCs/>
      <w:color w:val="595959" w:themeColor="text1" w:themeTint="A6"/>
      <w:lang w:val="es-ES_tradnl"/>
    </w:rPr>
  </w:style>
  <w:style w:type="character" w:customStyle="1" w:styleId="Ttulo7Car">
    <w:name w:val="Título 7 Car"/>
    <w:basedOn w:val="Fuentedeprrafopredeter"/>
    <w:link w:val="Ttulo7"/>
    <w:uiPriority w:val="9"/>
    <w:semiHidden/>
    <w:rsid w:val="0032509D"/>
    <w:rPr>
      <w:rFonts w:eastAsiaTheme="majorEastAsia" w:cstheme="majorBidi"/>
      <w:color w:val="595959" w:themeColor="text1" w:themeTint="A6"/>
      <w:lang w:val="es-ES_tradnl"/>
    </w:rPr>
  </w:style>
  <w:style w:type="character" w:customStyle="1" w:styleId="Ttulo8Car">
    <w:name w:val="Título 8 Car"/>
    <w:basedOn w:val="Fuentedeprrafopredeter"/>
    <w:link w:val="Ttulo8"/>
    <w:uiPriority w:val="9"/>
    <w:semiHidden/>
    <w:rsid w:val="0032509D"/>
    <w:rPr>
      <w:rFonts w:eastAsiaTheme="majorEastAsia" w:cstheme="majorBidi"/>
      <w:i/>
      <w:iCs/>
      <w:color w:val="272727" w:themeColor="text1" w:themeTint="D8"/>
      <w:lang w:val="es-ES_tradnl"/>
    </w:rPr>
  </w:style>
  <w:style w:type="character" w:customStyle="1" w:styleId="Ttulo9Car">
    <w:name w:val="Título 9 Car"/>
    <w:basedOn w:val="Fuentedeprrafopredeter"/>
    <w:link w:val="Ttulo9"/>
    <w:uiPriority w:val="9"/>
    <w:semiHidden/>
    <w:rsid w:val="0032509D"/>
    <w:rPr>
      <w:rFonts w:eastAsiaTheme="majorEastAsia" w:cstheme="majorBidi"/>
      <w:color w:val="272727" w:themeColor="text1" w:themeTint="D8"/>
      <w:lang w:val="es-ES_tradnl"/>
    </w:rPr>
  </w:style>
  <w:style w:type="paragraph" w:styleId="Ttulo">
    <w:name w:val="Title"/>
    <w:basedOn w:val="Normal"/>
    <w:next w:val="Normal"/>
    <w:link w:val="TtuloCar"/>
    <w:uiPriority w:val="10"/>
    <w:qFormat/>
    <w:rsid w:val="003250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2509D"/>
    <w:rPr>
      <w:rFonts w:asciiTheme="majorHAnsi" w:eastAsiaTheme="majorEastAsia" w:hAnsiTheme="majorHAnsi" w:cstheme="majorBidi"/>
      <w:spacing w:val="-10"/>
      <w:kern w:val="28"/>
      <w:sz w:val="56"/>
      <w:szCs w:val="56"/>
      <w:lang w:val="es-ES_tradnl"/>
    </w:rPr>
  </w:style>
  <w:style w:type="paragraph" w:styleId="Subttulo">
    <w:name w:val="Subtitle"/>
    <w:basedOn w:val="Normal"/>
    <w:next w:val="Normal"/>
    <w:link w:val="SubttuloCar"/>
    <w:uiPriority w:val="11"/>
    <w:qFormat/>
    <w:rsid w:val="0032509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2509D"/>
    <w:rPr>
      <w:rFonts w:eastAsiaTheme="majorEastAsia" w:cstheme="majorBidi"/>
      <w:color w:val="595959" w:themeColor="text1" w:themeTint="A6"/>
      <w:spacing w:val="15"/>
      <w:sz w:val="28"/>
      <w:szCs w:val="28"/>
      <w:lang w:val="es-ES_tradnl"/>
    </w:rPr>
  </w:style>
  <w:style w:type="paragraph" w:styleId="Cita">
    <w:name w:val="Quote"/>
    <w:basedOn w:val="Normal"/>
    <w:next w:val="Normal"/>
    <w:link w:val="CitaCar"/>
    <w:uiPriority w:val="29"/>
    <w:qFormat/>
    <w:rsid w:val="0032509D"/>
    <w:pPr>
      <w:spacing w:before="160"/>
      <w:jc w:val="center"/>
    </w:pPr>
    <w:rPr>
      <w:i/>
      <w:iCs/>
      <w:color w:val="404040" w:themeColor="text1" w:themeTint="BF"/>
    </w:rPr>
  </w:style>
  <w:style w:type="character" w:customStyle="1" w:styleId="CitaCar">
    <w:name w:val="Cita Car"/>
    <w:basedOn w:val="Fuentedeprrafopredeter"/>
    <w:link w:val="Cita"/>
    <w:uiPriority w:val="29"/>
    <w:rsid w:val="0032509D"/>
    <w:rPr>
      <w:i/>
      <w:iCs/>
      <w:color w:val="404040" w:themeColor="text1" w:themeTint="BF"/>
      <w:lang w:val="es-ES_tradnl"/>
    </w:rPr>
  </w:style>
  <w:style w:type="paragraph" w:styleId="Prrafodelista">
    <w:name w:val="List Paragraph"/>
    <w:basedOn w:val="Normal"/>
    <w:uiPriority w:val="34"/>
    <w:qFormat/>
    <w:rsid w:val="0032509D"/>
    <w:pPr>
      <w:ind w:left="720"/>
      <w:contextualSpacing/>
    </w:pPr>
  </w:style>
  <w:style w:type="character" w:styleId="nfasisintenso">
    <w:name w:val="Intense Emphasis"/>
    <w:basedOn w:val="Fuentedeprrafopredeter"/>
    <w:uiPriority w:val="21"/>
    <w:qFormat/>
    <w:rsid w:val="0032509D"/>
    <w:rPr>
      <w:i/>
      <w:iCs/>
      <w:color w:val="0F4761" w:themeColor="accent1" w:themeShade="BF"/>
    </w:rPr>
  </w:style>
  <w:style w:type="paragraph" w:styleId="Citadestacada">
    <w:name w:val="Intense Quote"/>
    <w:basedOn w:val="Normal"/>
    <w:next w:val="Normal"/>
    <w:link w:val="CitadestacadaCar"/>
    <w:uiPriority w:val="30"/>
    <w:qFormat/>
    <w:rsid w:val="003250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2509D"/>
    <w:rPr>
      <w:i/>
      <w:iCs/>
      <w:color w:val="0F4761" w:themeColor="accent1" w:themeShade="BF"/>
      <w:lang w:val="es-ES_tradnl"/>
    </w:rPr>
  </w:style>
  <w:style w:type="character" w:styleId="Referenciaintensa">
    <w:name w:val="Intense Reference"/>
    <w:basedOn w:val="Fuentedeprrafopredeter"/>
    <w:uiPriority w:val="32"/>
    <w:qFormat/>
    <w:rsid w:val="0032509D"/>
    <w:rPr>
      <w:b/>
      <w:bCs/>
      <w:smallCaps/>
      <w:color w:val="0F4761" w:themeColor="accent1" w:themeShade="BF"/>
      <w:spacing w:val="5"/>
    </w:rPr>
  </w:style>
  <w:style w:type="paragraph" w:styleId="Sinespaciado">
    <w:name w:val="No Spacing"/>
    <w:uiPriority w:val="1"/>
    <w:qFormat/>
    <w:rsid w:val="0032509D"/>
    <w:pPr>
      <w:spacing w:after="0" w:line="240" w:lineRule="auto"/>
    </w:pPr>
    <w:rPr>
      <w:lang w:val="es-ES_tradnl"/>
    </w:rPr>
  </w:style>
  <w:style w:type="paragraph" w:styleId="NormalWeb">
    <w:name w:val="Normal (Web)"/>
    <w:basedOn w:val="Normal"/>
    <w:uiPriority w:val="99"/>
    <w:semiHidden/>
    <w:unhideWhenUsed/>
    <w:rsid w:val="005328D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0FE62-D60C-4DF1-BF88-88209C326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1464</Words>
  <Characters>2929</Characters>
  <Application>Microsoft Office Word</Application>
  <DocSecurity>0</DocSecurity>
  <Lines>1464</Lines>
  <Paragraphs>1464</Paragraphs>
  <ScaleCrop>false</ScaleCrop>
  <Company/>
  <LinksUpToDate>false</LinksUpToDate>
  <CharactersWithSpaces>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Ochoa</dc:creator>
  <cp:keywords/>
  <dc:description/>
  <cp:lastModifiedBy>daniel Ochoa</cp:lastModifiedBy>
  <cp:revision>15</cp:revision>
  <dcterms:created xsi:type="dcterms:W3CDTF">2025-11-25T13:07:00Z</dcterms:created>
  <dcterms:modified xsi:type="dcterms:W3CDTF">2025-11-25T13:27:00Z</dcterms:modified>
</cp:coreProperties>
</file>